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0AB" w:rsidRDefault="008C60AB" w:rsidP="008C60AB">
      <w:pPr>
        <w:spacing w:line="720" w:lineRule="exact"/>
        <w:jc w:val="center"/>
        <w:rPr>
          <w:rFonts w:ascii="方正小标宋简体" w:eastAsia="方正小标宋简体" w:hAnsi="华文中宋"/>
          <w:sz w:val="44"/>
          <w:szCs w:val="44"/>
        </w:rPr>
      </w:pPr>
      <w:bookmarkStart w:id="0" w:name="OLE_LINK113"/>
      <w:bookmarkStart w:id="1" w:name="OLE_LINK114"/>
      <w:r>
        <w:rPr>
          <w:rFonts w:ascii="方正小标宋简体" w:eastAsia="方正小标宋简体" w:hAnsi="华文中宋" w:hint="eastAsia"/>
          <w:sz w:val="44"/>
          <w:szCs w:val="44"/>
        </w:rPr>
        <w:t>河北北方学院科研经费管理办法（修订）</w:t>
      </w:r>
    </w:p>
    <w:bookmarkEnd w:id="0"/>
    <w:bookmarkEnd w:id="1"/>
    <w:p w:rsidR="008C60AB" w:rsidRDefault="008C60AB" w:rsidP="008C60AB">
      <w:pPr>
        <w:ind w:firstLine="630"/>
        <w:jc w:val="center"/>
        <w:rPr>
          <w:rFonts w:ascii="仿宋_GB2312" w:eastAsia="仿宋_GB2312"/>
          <w:b/>
          <w:bCs/>
          <w:sz w:val="32"/>
          <w:szCs w:val="32"/>
        </w:rPr>
      </w:pPr>
      <w:r>
        <w:rPr>
          <w:rFonts w:ascii="仿宋_GB2312" w:eastAsia="仿宋_GB2312" w:hint="eastAsia"/>
          <w:b/>
          <w:bCs/>
          <w:sz w:val="32"/>
          <w:szCs w:val="32"/>
        </w:rPr>
        <w:t>第一章  总 则</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第一条</w:t>
      </w:r>
      <w:r>
        <w:rPr>
          <w:rFonts w:ascii="仿宋_GB2312" w:eastAsia="仿宋_GB2312" w:hint="eastAsia"/>
          <w:sz w:val="32"/>
          <w:szCs w:val="32"/>
        </w:rPr>
        <w:t xml:space="preserve">  为了进一步深化科技领域“放管服”改革，提高管理效力，保障科研经费合理配置和有效规范使用，给予科研工作者更大自主权，减轻科研工作者的负担，激活科研工作者创新创造动力活力，促进学校科学研究工作健康发展，根据《国务院办公厅关于抓好赋予科研机构和人员更大自主权有关文件贯彻落实工作的通知》（国办发〔2018〕127 号）、《国务院办公厅关于改革完善中央财政科研经费管理的若干意见》（国办发〔2021〕32 号）、中共中央办公厅国务院办公厅《关于完善科技激励机制的意见》（中办发〔2022〕51号）、《河北省人民政府印发关于深化“放管服”改革优化科研管理若干政策措施的通知》（冀政字〔2019〕4 号）、《河北省高等学校省级财政科研项目资金管理实施细则》（</w:t>
      </w:r>
      <w:proofErr w:type="gramStart"/>
      <w:r>
        <w:rPr>
          <w:rFonts w:ascii="仿宋_GB2312" w:eastAsia="仿宋_GB2312" w:hint="eastAsia"/>
          <w:sz w:val="32"/>
          <w:szCs w:val="32"/>
        </w:rPr>
        <w:t>冀教财〔2020〕</w:t>
      </w:r>
      <w:proofErr w:type="gramEnd"/>
      <w:r>
        <w:rPr>
          <w:rFonts w:ascii="仿宋_GB2312" w:eastAsia="仿宋_GB2312" w:hint="eastAsia"/>
          <w:sz w:val="32"/>
          <w:szCs w:val="32"/>
        </w:rPr>
        <w:t>68 号）、《河北省人民政府办公厅印发关于改革完善省级财政科研经费使用管理若干措施的通知》（冀政办字〔2021〕130 号），结合学校实际情况，特制定本管理办法。</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第二条</w:t>
      </w:r>
      <w:r>
        <w:rPr>
          <w:rFonts w:ascii="仿宋_GB2312" w:eastAsia="仿宋_GB2312" w:hint="eastAsia"/>
          <w:sz w:val="32"/>
          <w:szCs w:val="32"/>
        </w:rPr>
        <w:t xml:space="preserve">  本办法所指科研经费是学校为开展科研活动所取得的各类纵向科研经费、横向科研经费及校级科研经费。</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纵向科研经费：</w:t>
      </w:r>
      <w:r>
        <w:rPr>
          <w:rFonts w:ascii="仿宋_GB2312" w:eastAsia="仿宋_GB2312" w:hint="eastAsia"/>
          <w:sz w:val="32"/>
          <w:szCs w:val="32"/>
        </w:rPr>
        <w:t>各级政府部门或机构批准设立的各类科技计划项目和基金项目；国家重点实验室自主研究经费支持</w:t>
      </w:r>
      <w:r>
        <w:rPr>
          <w:rFonts w:ascii="仿宋_GB2312" w:eastAsia="仿宋_GB2312" w:hint="eastAsia"/>
          <w:sz w:val="32"/>
          <w:szCs w:val="32"/>
        </w:rPr>
        <w:lastRenderedPageBreak/>
        <w:t>项目和开放基金项目；国家和省部级学会组织以科技计划下达的研究课题；由上级科研主管部门划拨的平台、人才等科研建设经费；学校作为合作（协作）单位承担上述来源的项目，由项目主持单位转拨到学校的经费。</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横向科研经费：</w:t>
      </w:r>
      <w:r>
        <w:rPr>
          <w:rFonts w:ascii="仿宋_GB2312" w:eastAsia="仿宋_GB2312" w:hint="eastAsia"/>
          <w:sz w:val="32"/>
          <w:szCs w:val="32"/>
        </w:rPr>
        <w:t>以学校名义与法人、自然人及其他组织签订的联合研究、委托研究、科技攻关、技术开发、技术转让、科技咨询、技术服务与成果转让等合同所涉及的经费；政府部门、科研院所、社会团体等单位以技术开发、技术转让、技术服务、技术咨询合同等非政府计划形式委托学校承担的各种研究项目经费；与境外企业、个人开展国际合作所涉及的经费；科技捐赠项目经费等。</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校级科研经费：</w:t>
      </w:r>
      <w:r>
        <w:rPr>
          <w:rFonts w:ascii="仿宋_GB2312" w:eastAsia="仿宋_GB2312" w:hint="eastAsia"/>
          <w:sz w:val="32"/>
          <w:szCs w:val="32"/>
        </w:rPr>
        <w:t>学校从事业费中划拨的，用于资助校级各类科研项目的经费、博士科研启动经费、科研平台及团队建设等专项经费；学校对上级管理部门要求给予项目配套的经费。</w:t>
      </w:r>
    </w:p>
    <w:p w:rsidR="008C60AB" w:rsidRDefault="008C60AB" w:rsidP="008C60AB">
      <w:pPr>
        <w:numPr>
          <w:ilvl w:val="0"/>
          <w:numId w:val="1"/>
        </w:numPr>
        <w:ind w:firstLine="630"/>
        <w:jc w:val="left"/>
        <w:rPr>
          <w:rFonts w:ascii="仿宋_GB2312" w:eastAsia="仿宋_GB2312"/>
          <w:sz w:val="32"/>
          <w:szCs w:val="32"/>
        </w:rPr>
      </w:pPr>
      <w:r>
        <w:rPr>
          <w:rFonts w:ascii="仿宋_GB2312" w:eastAsia="仿宋_GB2312" w:hint="eastAsia"/>
          <w:sz w:val="32"/>
          <w:szCs w:val="32"/>
        </w:rPr>
        <w:t xml:space="preserve"> 科研经费必须全部纳入学校财务统一管理，实行独立核算；严格执行国家、上级科研管理部门、学校的相关财务规定，以及科研项目管理办法，依据项目合同书（计划任务书）、委托协议等要求，合理开支、专款专用。科研经费来源单位有管理规定的从其规定，没有规定的按本办法执行。</w:t>
      </w:r>
    </w:p>
    <w:p w:rsidR="008C60AB" w:rsidRDefault="008C60AB" w:rsidP="008C60AB">
      <w:pPr>
        <w:numPr>
          <w:ilvl w:val="0"/>
          <w:numId w:val="1"/>
        </w:numPr>
        <w:ind w:firstLine="630"/>
        <w:jc w:val="left"/>
        <w:rPr>
          <w:rFonts w:ascii="仿宋_GB2312" w:eastAsia="仿宋_GB2312"/>
          <w:sz w:val="32"/>
          <w:szCs w:val="32"/>
        </w:rPr>
      </w:pPr>
      <w:r>
        <w:rPr>
          <w:rFonts w:ascii="仿宋_GB2312" w:eastAsia="仿宋_GB2312" w:hint="eastAsia"/>
          <w:sz w:val="32"/>
          <w:szCs w:val="32"/>
        </w:rPr>
        <w:t>学校按照“谁使用，谁管理，谁负责”的原则，</w:t>
      </w:r>
      <w:r>
        <w:rPr>
          <w:rFonts w:ascii="仿宋_GB2312" w:eastAsia="仿宋_GB2312" w:hint="eastAsia"/>
          <w:sz w:val="32"/>
          <w:szCs w:val="32"/>
        </w:rPr>
        <w:lastRenderedPageBreak/>
        <w:t>建立健全“统一领导、分级管理、责任到人”的科研经费管理及监督检查机制。其中，有关科研经费使用的重大问题应按照有关规定由学校校长办公会或党委常委会集体研究决定。</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科研管理部门：</w:t>
      </w:r>
      <w:r>
        <w:rPr>
          <w:rFonts w:ascii="仿宋_GB2312" w:eastAsia="仿宋_GB2312" w:hint="eastAsia"/>
          <w:sz w:val="32"/>
          <w:szCs w:val="32"/>
        </w:rPr>
        <w:t>负责科研项目的日常管理与合同管理工作；配合上级科研管理部门做好科研经费的监督检查、绩效评价等工作；配合学校财务管理部门完成科研经费预算、开支等审批工作。</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财务管理部门：</w:t>
      </w:r>
      <w:r>
        <w:rPr>
          <w:rFonts w:ascii="仿宋_GB2312" w:eastAsia="仿宋_GB2312" w:hint="eastAsia"/>
          <w:sz w:val="32"/>
          <w:szCs w:val="32"/>
        </w:rPr>
        <w:t>负责科研经费的财务管理和会计核算；协同科研部门指导项目负责人合理编制项目经费预算；监督、指导项目负责人按照项目合同书（计划任务书）、委托协议，以及有关财经法规在其权限范围内使用科研经费；监督、指导项目负责人根据经费开支情况编制经费决算报告，并协助审计监察部门做好经费决算报告的审计工作。</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审计监察部门：</w:t>
      </w:r>
      <w:r>
        <w:rPr>
          <w:rFonts w:ascii="仿宋_GB2312" w:eastAsia="仿宋_GB2312" w:hint="eastAsia"/>
          <w:sz w:val="32"/>
          <w:szCs w:val="32"/>
        </w:rPr>
        <w:t>负责定期开展科研经费日常使用的监督管理工作，确保使用权、管理权和监督权的有效行使；按照相关经费管理规定，开展科研经费决算审计工作；根据上级科研管理部门要求或实际工作需要，开展科研项目经费专项审计工作。</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二级管理单位：</w:t>
      </w:r>
      <w:r>
        <w:rPr>
          <w:rFonts w:ascii="仿宋_GB2312" w:eastAsia="仿宋_GB2312" w:hint="eastAsia"/>
          <w:sz w:val="32"/>
          <w:szCs w:val="32"/>
        </w:rPr>
        <w:t>学校下属各二级学院、系、部及国家、省认定的校内科</w:t>
      </w:r>
      <w:proofErr w:type="gramStart"/>
      <w:r>
        <w:rPr>
          <w:rFonts w:ascii="仿宋_GB2312" w:eastAsia="仿宋_GB2312" w:hint="eastAsia"/>
          <w:sz w:val="32"/>
          <w:szCs w:val="32"/>
        </w:rPr>
        <w:t>研</w:t>
      </w:r>
      <w:proofErr w:type="gramEnd"/>
      <w:r>
        <w:rPr>
          <w:rFonts w:ascii="仿宋_GB2312" w:eastAsia="仿宋_GB2312" w:hint="eastAsia"/>
          <w:sz w:val="32"/>
          <w:szCs w:val="32"/>
        </w:rPr>
        <w:t>管理机构，对本单位范围内科</w:t>
      </w:r>
      <w:proofErr w:type="gramStart"/>
      <w:r>
        <w:rPr>
          <w:rFonts w:ascii="仿宋_GB2312" w:eastAsia="仿宋_GB2312" w:hint="eastAsia"/>
          <w:sz w:val="32"/>
          <w:szCs w:val="32"/>
        </w:rPr>
        <w:t>研</w:t>
      </w:r>
      <w:proofErr w:type="gramEnd"/>
      <w:r>
        <w:rPr>
          <w:rFonts w:ascii="仿宋_GB2312" w:eastAsia="仿宋_GB2312" w:hint="eastAsia"/>
          <w:sz w:val="32"/>
          <w:szCs w:val="32"/>
        </w:rPr>
        <w:t>经费的使用负监管责任，配合学校相关职能部门加强经费预算执行情</w:t>
      </w:r>
      <w:r>
        <w:rPr>
          <w:rFonts w:ascii="仿宋_GB2312" w:eastAsia="仿宋_GB2312" w:hint="eastAsia"/>
          <w:sz w:val="32"/>
          <w:szCs w:val="32"/>
        </w:rPr>
        <w:lastRenderedPageBreak/>
        <w:t>况监督工作，并根据学科特点与项目实际需要合理配置科研资源，为科研项目顺利开展提供条件保障，监督预算执行和课题进度。</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科研项目负责人：</w:t>
      </w:r>
      <w:r>
        <w:rPr>
          <w:rFonts w:ascii="仿宋_GB2312" w:eastAsia="仿宋_GB2312" w:hint="eastAsia"/>
          <w:sz w:val="32"/>
          <w:szCs w:val="32"/>
        </w:rPr>
        <w:t>科研经费实行项目负责人负责制。项目负责人是科研经费使用的直接责任人，对所承担项目科研经费使用的合</w:t>
      </w:r>
      <w:proofErr w:type="gramStart"/>
      <w:r>
        <w:rPr>
          <w:rFonts w:ascii="仿宋_GB2312" w:eastAsia="仿宋_GB2312" w:hint="eastAsia"/>
          <w:sz w:val="32"/>
          <w:szCs w:val="32"/>
        </w:rPr>
        <w:t>规</w:t>
      </w:r>
      <w:proofErr w:type="gramEnd"/>
      <w:r>
        <w:rPr>
          <w:rFonts w:ascii="仿宋_GB2312" w:eastAsia="仿宋_GB2312" w:hint="eastAsia"/>
          <w:sz w:val="32"/>
          <w:szCs w:val="32"/>
        </w:rPr>
        <w:t>性、合理性、真实性和相关性等承担法律责任。项目负责人要熟悉并掌握有关财经法律法规和科研经费管理制度，依法据实编制科研项目预算和决算报告；根据工作需要和学校统筹安排，提出设备采购建议计划；严格按照批复的预算和签订的合同（任务书）执行，服从所属二级单位的领导，并接受上级和学校相关部门的监督检查。</w:t>
      </w:r>
    </w:p>
    <w:p w:rsidR="008C60AB" w:rsidRDefault="008C60AB" w:rsidP="008C60AB">
      <w:pPr>
        <w:numPr>
          <w:ilvl w:val="0"/>
          <w:numId w:val="1"/>
        </w:numPr>
        <w:ind w:firstLine="630"/>
        <w:jc w:val="left"/>
        <w:rPr>
          <w:rFonts w:ascii="仿宋_GB2312" w:eastAsia="仿宋_GB2312"/>
          <w:b/>
          <w:bCs/>
          <w:sz w:val="32"/>
          <w:szCs w:val="32"/>
        </w:rPr>
      </w:pPr>
      <w:r>
        <w:rPr>
          <w:rFonts w:ascii="仿宋_GB2312" w:eastAsia="仿宋_GB2312" w:hint="eastAsia"/>
          <w:sz w:val="32"/>
          <w:szCs w:val="32"/>
        </w:rPr>
        <w:t>学校设立专职科研财务助理协助项目负责人完成科研经费预决算报告编制与调剂、科研经费开支管理等工作，提供与科研经费有关的财务制度咨询与建议。学校鼓励有条件的科研项目组，根据实际工作需要聘请专职科研财务助理，负责与项目经费有关的财务工作，其工资可由项目直接费用中劳务费列支。</w:t>
      </w:r>
    </w:p>
    <w:p w:rsidR="008C60AB" w:rsidRDefault="008C60AB" w:rsidP="008C60AB">
      <w:pPr>
        <w:jc w:val="center"/>
        <w:rPr>
          <w:rFonts w:ascii="仿宋_GB2312" w:eastAsia="仿宋_GB2312"/>
          <w:b/>
          <w:bCs/>
          <w:sz w:val="32"/>
          <w:szCs w:val="32"/>
        </w:rPr>
      </w:pPr>
      <w:r>
        <w:rPr>
          <w:rFonts w:ascii="仿宋_GB2312" w:eastAsia="仿宋_GB2312" w:hint="eastAsia"/>
          <w:b/>
          <w:bCs/>
          <w:sz w:val="32"/>
          <w:szCs w:val="32"/>
        </w:rPr>
        <w:t>第二章 经费预算管理</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第六条</w:t>
      </w:r>
      <w:r>
        <w:rPr>
          <w:rFonts w:ascii="仿宋_GB2312" w:eastAsia="仿宋_GB2312" w:hint="eastAsia"/>
          <w:sz w:val="32"/>
          <w:szCs w:val="32"/>
        </w:rPr>
        <w:t xml:space="preserve">  科研经费管理实行预决算制度。科研经费预算是经费收支的基本依据，项目负责人应根据国家有关规定和科研项目管理的相关要求及项目研究的合理需要，按照目标相关性、政策相符性和经济合理性原则，实事求是地编制科</w:t>
      </w:r>
      <w:r>
        <w:rPr>
          <w:rFonts w:ascii="仿宋_GB2312" w:eastAsia="仿宋_GB2312" w:hint="eastAsia"/>
          <w:sz w:val="32"/>
          <w:szCs w:val="32"/>
        </w:rPr>
        <w:lastRenderedPageBreak/>
        <w:t>研项目预算，并按照主管部门或委托单位批准的预算执行。</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第七条</w:t>
      </w:r>
      <w:r>
        <w:rPr>
          <w:rFonts w:ascii="仿宋_GB2312" w:eastAsia="仿宋_GB2312" w:hint="eastAsia"/>
          <w:sz w:val="32"/>
          <w:szCs w:val="32"/>
        </w:rPr>
        <w:t xml:space="preserve">  科研经费预算包括收入预算和支出预算。</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收入预算：</w:t>
      </w:r>
      <w:r>
        <w:rPr>
          <w:rFonts w:ascii="仿宋_GB2312" w:eastAsia="仿宋_GB2312" w:hint="eastAsia"/>
          <w:sz w:val="32"/>
          <w:szCs w:val="32"/>
        </w:rPr>
        <w:t>指用于同一项目不同来源渠道的经费预算，即所申请的专项经费及配套、自筹经费预算。配套经费特指上级科研归口管理部门根据有关规定为该项目提供的资金支持；自筹经费包括学校对上级部门要求给予配套的经费、专项用于该研究的企业及社会捐赠及其他资金等。</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支出预算：</w:t>
      </w:r>
      <w:r>
        <w:rPr>
          <w:rFonts w:ascii="仿宋_GB2312" w:eastAsia="仿宋_GB2312" w:hint="eastAsia"/>
          <w:sz w:val="32"/>
          <w:szCs w:val="32"/>
        </w:rPr>
        <w:t>指与该项目相关的各类开支预算，包括直接费用与间接费用两个部分，不同来源渠道的经费应分别编制支出预算。</w:t>
      </w:r>
    </w:p>
    <w:p w:rsidR="008C60AB" w:rsidRDefault="008C60AB" w:rsidP="008C60AB">
      <w:pPr>
        <w:ind w:firstLineChars="200" w:firstLine="640"/>
        <w:jc w:val="left"/>
        <w:rPr>
          <w:rFonts w:ascii="仿宋_GB2312" w:eastAsia="仿宋_GB2312"/>
          <w:sz w:val="32"/>
          <w:szCs w:val="32"/>
        </w:rPr>
      </w:pPr>
      <w:r>
        <w:rPr>
          <w:rFonts w:ascii="仿宋_GB2312" w:eastAsia="仿宋_GB2312" w:hint="eastAsia"/>
          <w:sz w:val="32"/>
          <w:szCs w:val="32"/>
        </w:rPr>
        <w:t>（一）直接费用指科研项目实施过程中发生的，与项目直接相关的费用，主要包括：设备费、业务费、劳务费三大类。计算类仪器设备和软件工具可在设备费科目列支。直接费用中除50万元以上的设备费外，其他费用只提供基本测算说明，不需提供明细。项目负责人应根据项目研究实际需要科学、合理、真实地编制预算。</w:t>
      </w:r>
    </w:p>
    <w:p w:rsidR="008C60AB" w:rsidRDefault="008C60AB" w:rsidP="008C60AB">
      <w:pPr>
        <w:ind w:firstLineChars="200" w:firstLine="640"/>
        <w:jc w:val="left"/>
        <w:rPr>
          <w:rFonts w:ascii="仿宋_GB2312" w:eastAsia="仿宋_GB2312"/>
          <w:sz w:val="32"/>
          <w:szCs w:val="32"/>
        </w:rPr>
      </w:pPr>
      <w:r>
        <w:rPr>
          <w:rFonts w:ascii="仿宋_GB2312" w:eastAsia="仿宋_GB2312" w:hint="eastAsia"/>
          <w:sz w:val="32"/>
          <w:szCs w:val="32"/>
        </w:rPr>
        <w:t>（二）间接费用指在组织实施科研项目过程中发生的，无法在直接费用中列支的相关费用，主要包括：学校为科研项目提供管理服务的费用及仪器设备、房屋、水、电、气、暖等消耗补助，项目绩效支出等。</w:t>
      </w:r>
    </w:p>
    <w:p w:rsidR="008C60AB" w:rsidRDefault="008C60AB" w:rsidP="008C60AB">
      <w:pPr>
        <w:ind w:firstLineChars="200" w:firstLine="640"/>
        <w:jc w:val="left"/>
        <w:rPr>
          <w:rFonts w:ascii="仿宋_GB2312" w:eastAsia="仿宋_GB2312"/>
          <w:sz w:val="32"/>
          <w:szCs w:val="32"/>
        </w:rPr>
      </w:pPr>
      <w:r>
        <w:rPr>
          <w:rFonts w:ascii="仿宋_GB2312" w:eastAsia="仿宋_GB2312" w:hint="eastAsia"/>
          <w:sz w:val="32"/>
          <w:szCs w:val="32"/>
        </w:rPr>
        <w:t>纵向科研项目间接费用的提取比例应参照上级科研管理部门有关规定执行。如无规定，一般按如下比例执行：课</w:t>
      </w:r>
      <w:r>
        <w:rPr>
          <w:rFonts w:ascii="仿宋_GB2312" w:eastAsia="仿宋_GB2312" w:hint="eastAsia"/>
          <w:sz w:val="32"/>
          <w:szCs w:val="32"/>
        </w:rPr>
        <w:lastRenderedPageBreak/>
        <w:t>题经费100万元以下的部分，间接费用比例不超过30%，100万元至300万元的部分不超过25%，300万元以上的部分不超过20%；数学等纯理论基础研究课题间接费用比例可提高到不超过60%。</w:t>
      </w:r>
    </w:p>
    <w:p w:rsidR="008C60AB" w:rsidRDefault="008C60AB" w:rsidP="008C60AB">
      <w:pPr>
        <w:ind w:firstLineChars="200" w:firstLine="640"/>
        <w:jc w:val="left"/>
        <w:rPr>
          <w:rFonts w:ascii="仿宋_GB2312" w:eastAsia="仿宋_GB2312"/>
          <w:sz w:val="32"/>
          <w:szCs w:val="32"/>
        </w:rPr>
      </w:pPr>
      <w:r>
        <w:rPr>
          <w:rFonts w:ascii="仿宋_GB2312" w:eastAsia="仿宋_GB2312" w:hint="eastAsia"/>
          <w:sz w:val="32"/>
          <w:szCs w:val="32"/>
        </w:rPr>
        <w:t>横向科研项目间接费用按合同书约定提取，无具体约定的，间接经费提取比例不得超过直接经费扣除设备购置费后的60%。</w:t>
      </w:r>
    </w:p>
    <w:p w:rsidR="008C60AB" w:rsidRDefault="008C60AB" w:rsidP="008C60AB">
      <w:pPr>
        <w:ind w:firstLineChars="200" w:firstLine="640"/>
        <w:jc w:val="left"/>
        <w:rPr>
          <w:rFonts w:ascii="仿宋_GB2312" w:eastAsia="仿宋_GB2312"/>
          <w:sz w:val="32"/>
          <w:szCs w:val="32"/>
        </w:rPr>
      </w:pPr>
      <w:r>
        <w:rPr>
          <w:rFonts w:ascii="仿宋_GB2312" w:eastAsia="仿宋_GB2312" w:hint="eastAsia"/>
          <w:sz w:val="32"/>
          <w:szCs w:val="32"/>
        </w:rPr>
        <w:t>间接费用按照不超过课题直接费用扣除设备购置费后的一定比例核定，严禁超额提取、变相提取和重复提取。</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第八条</w:t>
      </w:r>
      <w:r>
        <w:rPr>
          <w:rFonts w:ascii="仿宋_GB2312" w:eastAsia="仿宋_GB2312" w:hint="eastAsia"/>
          <w:sz w:val="32"/>
          <w:szCs w:val="32"/>
        </w:rPr>
        <w:t xml:space="preserve">  由多家单位共同承担的科研项目经费，应由各单位科研任务负责人分别编制预算，再由项目负责人汇总形成最终经费预算报告，并与各承担单位签订有关经费分配情况的正式合同文件，报学校科研处、财务处备案。</w:t>
      </w:r>
    </w:p>
    <w:p w:rsidR="008C60AB" w:rsidRDefault="008C60AB" w:rsidP="008C60AB">
      <w:pPr>
        <w:ind w:firstLineChars="200" w:firstLine="643"/>
        <w:jc w:val="left"/>
        <w:rPr>
          <w:rFonts w:ascii="仿宋_GB2312" w:eastAsia="仿宋_GB2312"/>
          <w:sz w:val="32"/>
          <w:szCs w:val="32"/>
        </w:rPr>
      </w:pPr>
      <w:r>
        <w:rPr>
          <w:rFonts w:ascii="仿宋_GB2312" w:eastAsia="仿宋_GB2312" w:hint="eastAsia"/>
          <w:b/>
          <w:bCs/>
          <w:sz w:val="32"/>
          <w:szCs w:val="32"/>
        </w:rPr>
        <w:t>第九条</w:t>
      </w:r>
      <w:r>
        <w:rPr>
          <w:rFonts w:ascii="仿宋_GB2312" w:eastAsia="仿宋_GB2312" w:hint="eastAsia"/>
          <w:sz w:val="32"/>
          <w:szCs w:val="32"/>
        </w:rPr>
        <w:t xml:space="preserve">  科研项目预算一经批复，须按预算规定的开支范围和项目进度执行，原则上不予调整，确因项目执行期间发生重大事项必须调整，并符合相关科研经费管理办法规定的，可由项目负责人申请并按如下程序报批后执行。</w:t>
      </w:r>
    </w:p>
    <w:p w:rsidR="008C60AB" w:rsidRDefault="008C60AB" w:rsidP="008C60AB">
      <w:pPr>
        <w:ind w:firstLineChars="200" w:firstLine="640"/>
        <w:jc w:val="left"/>
        <w:rPr>
          <w:rFonts w:ascii="仿宋_GB2312" w:eastAsia="仿宋_GB2312"/>
          <w:sz w:val="32"/>
          <w:szCs w:val="32"/>
        </w:rPr>
      </w:pPr>
      <w:r>
        <w:rPr>
          <w:rFonts w:ascii="仿宋_GB2312" w:eastAsia="仿宋_GB2312" w:hint="eastAsia"/>
          <w:sz w:val="32"/>
          <w:szCs w:val="32"/>
        </w:rPr>
        <w:t>（一）预算总额需调整的，需提出调整的具体理由和方案，按原计划下达程序报上级计划主管部门，经计划主管部门审核后，报请同级财政部门审核批准。</w:t>
      </w:r>
    </w:p>
    <w:p w:rsidR="008C60AB" w:rsidRDefault="008C60AB" w:rsidP="008C60AB">
      <w:pPr>
        <w:ind w:firstLineChars="200" w:firstLine="640"/>
        <w:jc w:val="left"/>
        <w:rPr>
          <w:rFonts w:ascii="仿宋_GB2312" w:eastAsia="仿宋_GB2312"/>
          <w:sz w:val="32"/>
          <w:szCs w:val="32"/>
        </w:rPr>
      </w:pPr>
      <w:r>
        <w:rPr>
          <w:rFonts w:ascii="仿宋_GB2312" w:eastAsia="仿宋_GB2312" w:hint="eastAsia"/>
          <w:sz w:val="32"/>
          <w:szCs w:val="32"/>
        </w:rPr>
        <w:t>（二）预算总额不变，各合作单位之间以及增加或减少合作单位的预算调整，需提出调整的具体理由和方案，按原</w:t>
      </w:r>
      <w:r>
        <w:rPr>
          <w:rFonts w:ascii="仿宋_GB2312" w:eastAsia="仿宋_GB2312" w:hint="eastAsia"/>
          <w:sz w:val="32"/>
          <w:szCs w:val="32"/>
        </w:rPr>
        <w:lastRenderedPageBreak/>
        <w:t>计划下达程序报上级计划主管部门批准。</w:t>
      </w:r>
    </w:p>
    <w:p w:rsidR="008C60AB" w:rsidRDefault="008C60AB" w:rsidP="008C60AB">
      <w:pPr>
        <w:ind w:firstLineChars="200" w:firstLine="640"/>
        <w:jc w:val="left"/>
        <w:rPr>
          <w:rFonts w:ascii="仿宋_GB2312" w:eastAsia="仿宋_GB2312"/>
          <w:sz w:val="32"/>
          <w:szCs w:val="32"/>
        </w:rPr>
      </w:pPr>
      <w:r>
        <w:rPr>
          <w:rFonts w:ascii="仿宋_GB2312" w:eastAsia="仿宋_GB2312" w:hint="eastAsia"/>
          <w:sz w:val="32"/>
          <w:szCs w:val="32"/>
        </w:rPr>
        <w:t xml:space="preserve">（三）预算总额不变，直接费用中除设备费外的其他经费由项目负责人根据科研活动实际需要自主安排。设备费预算调剂需由项目负责人提出调整的具体理由和方案报学校科研处，科研处协同国资处统筹考虑现有设备配置情况，按照科研项目实际需求审批、备案后执行。 </w:t>
      </w:r>
    </w:p>
    <w:p w:rsidR="008C60AB" w:rsidRDefault="008C60AB" w:rsidP="008C60AB">
      <w:pPr>
        <w:ind w:firstLine="630"/>
        <w:jc w:val="center"/>
        <w:rPr>
          <w:rFonts w:ascii="仿宋_GB2312" w:eastAsia="仿宋_GB2312"/>
          <w:b/>
          <w:bCs/>
          <w:sz w:val="32"/>
          <w:szCs w:val="32"/>
        </w:rPr>
      </w:pPr>
      <w:r>
        <w:rPr>
          <w:rFonts w:ascii="仿宋_GB2312" w:eastAsia="仿宋_GB2312" w:hint="eastAsia"/>
          <w:b/>
          <w:bCs/>
          <w:sz w:val="32"/>
          <w:szCs w:val="32"/>
        </w:rPr>
        <w:t>第三章 经费到账管理</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不论以何种渠道、拨款方式及币种取得的科研经费，均为学校收入，纳入学校财务部门统一管理，按项目设立编号，单独核算，专款专用。</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第十一条</w:t>
      </w:r>
      <w:r>
        <w:rPr>
          <w:rFonts w:ascii="仿宋_GB2312" w:eastAsia="仿宋_GB2312" w:hint="eastAsia"/>
          <w:sz w:val="32"/>
          <w:szCs w:val="32"/>
        </w:rPr>
        <w:t xml:space="preserve">  科研经费到账后，由学校财务处将到款的详细情况通知科研处。科研处根据科研立项报告或科研合同，以书面形式通知财务</w:t>
      </w:r>
      <w:proofErr w:type="gramStart"/>
      <w:r>
        <w:rPr>
          <w:rFonts w:ascii="仿宋_GB2312" w:eastAsia="仿宋_GB2312" w:hint="eastAsia"/>
          <w:sz w:val="32"/>
          <w:szCs w:val="32"/>
        </w:rPr>
        <w:t>处完成</w:t>
      </w:r>
      <w:proofErr w:type="gramEnd"/>
      <w:r>
        <w:rPr>
          <w:rFonts w:ascii="仿宋_GB2312" w:eastAsia="仿宋_GB2312" w:hint="eastAsia"/>
          <w:sz w:val="32"/>
          <w:szCs w:val="32"/>
        </w:rPr>
        <w:t>经费划拨，并通知项目负责人办理相关手续。</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第十二条</w:t>
      </w:r>
      <w:r>
        <w:rPr>
          <w:rFonts w:ascii="仿宋_GB2312" w:eastAsia="仿宋_GB2312" w:hint="eastAsia"/>
          <w:sz w:val="32"/>
          <w:szCs w:val="32"/>
        </w:rPr>
        <w:t xml:space="preserve">  由学校财务处为经费来源单位提供有关经费到账凭证或银行回单等证明材料；对于确需开具税务统一专用发票的，由财务部门协助办理。</w:t>
      </w:r>
    </w:p>
    <w:p w:rsidR="008C60AB" w:rsidRDefault="008C60AB" w:rsidP="008C60AB">
      <w:pPr>
        <w:ind w:firstLine="630"/>
        <w:jc w:val="center"/>
        <w:rPr>
          <w:rFonts w:ascii="仿宋_GB2312" w:eastAsia="仿宋_GB2312"/>
          <w:b/>
          <w:bCs/>
          <w:sz w:val="32"/>
          <w:szCs w:val="32"/>
        </w:rPr>
      </w:pPr>
      <w:r>
        <w:rPr>
          <w:rFonts w:ascii="仿宋_GB2312" w:eastAsia="仿宋_GB2312" w:hint="eastAsia"/>
          <w:b/>
          <w:bCs/>
          <w:sz w:val="32"/>
          <w:szCs w:val="32"/>
        </w:rPr>
        <w:t>第四章 经费开支管理</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第十三条</w:t>
      </w:r>
      <w:r>
        <w:rPr>
          <w:rFonts w:ascii="仿宋_GB2312" w:eastAsia="仿宋_GB2312" w:hint="eastAsia"/>
          <w:sz w:val="32"/>
          <w:szCs w:val="32"/>
        </w:rPr>
        <w:t xml:space="preserve"> 科研经费开支按项目实行独立核算，并严格履行财务报销手续。科研经费支出根据支出预算，凭开支票据报销，由经办人、验收人、项目负责人签字后，按下述程序报销。</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lastRenderedPageBreak/>
        <w:t>（一）</w:t>
      </w:r>
      <w:proofErr w:type="gramStart"/>
      <w:r>
        <w:rPr>
          <w:rFonts w:ascii="仿宋_GB2312" w:eastAsia="仿宋_GB2312" w:hint="eastAsia"/>
          <w:sz w:val="32"/>
          <w:szCs w:val="32"/>
        </w:rPr>
        <w:t>外拨纵向</w:t>
      </w:r>
      <w:proofErr w:type="gramEnd"/>
      <w:r>
        <w:rPr>
          <w:rFonts w:ascii="仿宋_GB2312" w:eastAsia="仿宋_GB2312" w:hint="eastAsia"/>
          <w:sz w:val="32"/>
          <w:szCs w:val="32"/>
        </w:rPr>
        <w:t>、横向科研经费中的直接费用支出，单笔业务不足1万元的，由项目负责人签字确认后到财务处报销。</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（二）</w:t>
      </w:r>
      <w:proofErr w:type="gramStart"/>
      <w:r>
        <w:rPr>
          <w:rFonts w:ascii="仿宋_GB2312" w:eastAsia="仿宋_GB2312" w:hint="eastAsia"/>
          <w:sz w:val="32"/>
          <w:szCs w:val="32"/>
        </w:rPr>
        <w:t>外拨纵向</w:t>
      </w:r>
      <w:proofErr w:type="gramEnd"/>
      <w:r>
        <w:rPr>
          <w:rFonts w:ascii="仿宋_GB2312" w:eastAsia="仿宋_GB2312" w:hint="eastAsia"/>
          <w:sz w:val="32"/>
          <w:szCs w:val="32"/>
        </w:rPr>
        <w:t>、横向科研经费中的直接费用支出单笔业务在1万元（含）以上的、校级科研经费、间接费用支出，应由科研处审批签字后到财务处报销。</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（三）单笔业务在5万元（含）以上的支出，须</w:t>
      </w:r>
      <w:proofErr w:type="gramStart"/>
      <w:r>
        <w:rPr>
          <w:rFonts w:ascii="仿宋_GB2312" w:eastAsia="仿宋_GB2312" w:hint="eastAsia"/>
          <w:sz w:val="32"/>
          <w:szCs w:val="32"/>
        </w:rPr>
        <w:t>报科研</w:t>
      </w:r>
      <w:proofErr w:type="gramEnd"/>
      <w:r>
        <w:rPr>
          <w:rFonts w:ascii="仿宋_GB2312" w:eastAsia="仿宋_GB2312" w:hint="eastAsia"/>
          <w:sz w:val="32"/>
          <w:szCs w:val="32"/>
        </w:rPr>
        <w:t>主管校长审批；单笔业务在30万元（含）以上的支出，须报财务主管校长审批；单笔业务在50万元（含）以上的支出，须报校长审批。</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对于野外考察、社会调研、心理测试等科研活动中无法取得发票或财政性票据的活动所发生的费用，项目负责人可凭考察（调研）报告、被考察（调研）单位证明、调查（测试）对象证明等与上述活动有关的支撑材料，经二级单位、科研处、财务处审批后据实报销，项目负责人应对上述活动的真实性负直接责任。</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第十四条</w:t>
      </w:r>
      <w:r>
        <w:rPr>
          <w:rFonts w:ascii="仿宋_GB2312" w:eastAsia="仿宋_GB2312" w:hint="eastAsia"/>
          <w:sz w:val="32"/>
          <w:szCs w:val="32"/>
        </w:rPr>
        <w:t xml:space="preserve">  直接费用开支范围：</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一）设备费：是指项目研究过程中购置或试制的专用仪器设备及其运输、安装、调试，对现有仪器设备进行升级改造，以及租赁外单位仪器设备而发生的费用。由项目负责人提出购置申请，经所属二级单位、科研处审核同意后，报学校国有资产管理部门，按政府采购管理办法执行。科研项</w:t>
      </w:r>
      <w:r>
        <w:rPr>
          <w:rFonts w:ascii="仿宋_GB2312" w:eastAsia="仿宋_GB2312" w:hint="eastAsia"/>
          <w:sz w:val="32"/>
          <w:szCs w:val="32"/>
        </w:rPr>
        <w:lastRenderedPageBreak/>
        <w:t>目经费购置的仪器设备均属学校固定资产，在项目执行期内，</w:t>
      </w:r>
      <w:proofErr w:type="gramStart"/>
      <w:r>
        <w:rPr>
          <w:rFonts w:ascii="仿宋_GB2312" w:eastAsia="仿宋_GB2312" w:hint="eastAsia"/>
          <w:sz w:val="32"/>
          <w:szCs w:val="32"/>
        </w:rPr>
        <w:t>归项目</w:t>
      </w:r>
      <w:proofErr w:type="gramEnd"/>
      <w:r>
        <w:rPr>
          <w:rFonts w:ascii="仿宋_GB2312" w:eastAsia="仿宋_GB2312" w:hint="eastAsia"/>
          <w:sz w:val="32"/>
          <w:szCs w:val="32"/>
        </w:rPr>
        <w:t>负责人管理使用；项目结束后，移交所属二级单位统一管理，项目负责人拥有优先使用权；校内可共享的大型科研用仪器设备原则上不重复购置。</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（二）业务费：包括研究过程中的材料费、测试化验加工费、燃料动力费、差旅费、会议费、合作、协作研究与交流费、出版/文献/信息传播/知识产权事务费等。</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三）劳务费：是指在项目研究开发过程中支付给参与项目研究的研究生、博士后、访问学者以及项目临时聘用的研究人员、科研辅助人员等的劳务支出。劳务费开支，须由领取人本人签字，并提供领取人银行卡卡号，直接转入个人账户。对于没有银行卡的临时雇工，须提供个人身份证复印件、居民所在地（如村委会等）证明等材料后，可签字直接领取。劳务费标准参照我省科学研究和技术服务业从业人员平均工资水平，并根据其在项目研究中承担的工作任务确定。允许将项目聘用人员由单位缴纳的“五险</w:t>
      </w:r>
      <w:proofErr w:type="gramStart"/>
      <w:r>
        <w:rPr>
          <w:rFonts w:ascii="仿宋_GB2312" w:eastAsia="仿宋_GB2312" w:hint="eastAsia"/>
          <w:sz w:val="32"/>
          <w:szCs w:val="32"/>
        </w:rPr>
        <w:t>一</w:t>
      </w:r>
      <w:proofErr w:type="gramEnd"/>
      <w:r>
        <w:rPr>
          <w:rFonts w:ascii="仿宋_GB2312" w:eastAsia="仿宋_GB2312" w:hint="eastAsia"/>
          <w:sz w:val="32"/>
          <w:szCs w:val="32"/>
        </w:rPr>
        <w:t>金”纳入劳务费科目列支。</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第十五条</w:t>
      </w:r>
      <w:r>
        <w:rPr>
          <w:rFonts w:ascii="仿宋_GB2312" w:eastAsia="仿宋_GB2312" w:hint="eastAsia"/>
          <w:sz w:val="32"/>
          <w:szCs w:val="32"/>
        </w:rPr>
        <w:t xml:space="preserve">  间接费用开支范围：</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一）管理费及间接消耗费：纵向课题为到账经费总额的5%、横向课题为到账经费总额的7%，由财务处根据科研处书面通知按项目提取，根据有关规定支配。该提取比例与上级有关科研管理办法不一致时，按上级管理办法执行。</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lastRenderedPageBreak/>
        <w:t>（二）绩效支出：指为激励项目组成员提高科研工作绩效安排的相关支出，由学校科研处、财务处统一管理。</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科研经费一次性到账的，按规定比例全额计提绩效支出。项目完成中期检查后按绩效支出总额的50%发放第一次绩效；项目结题验收后，通过结题验收的项目，可发放项目绩效支出的剩余部分，未通过结题验收的项目不予发放。</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科研经费分年度到账的项目，按到账经费和计提比例分次计提绩效支出。项目中期评估结束后，通过中期评估的项目可发放至项目绩效支出总额的50%（若总经费到账未达50%，按到账经费比例发放），未通过中期评估的项目不予发放；项目结题验收后，通过结题验收的项目可发放项目绩效支出的剩余部分，未通过结题验收的项目不予发放。</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项目中期评估、结题验收结论以项目主管部门、项目委托方或学校正式组织的专家评估验收形成的意见为准。</w:t>
      </w:r>
    </w:p>
    <w:p w:rsidR="008C60AB" w:rsidRDefault="008C60AB" w:rsidP="008C60AB">
      <w:pPr>
        <w:ind w:firstLine="630"/>
        <w:jc w:val="left"/>
        <w:rPr>
          <w:rFonts w:ascii="仿宋_GB2312" w:eastAsia="仿宋_GB2312"/>
          <w:sz w:val="32"/>
          <w:szCs w:val="32"/>
        </w:rPr>
      </w:pPr>
      <w:r>
        <w:rPr>
          <w:rFonts w:ascii="仿宋_GB2312" w:eastAsia="仿宋_GB2312" w:hint="eastAsia"/>
          <w:sz w:val="32"/>
          <w:szCs w:val="32"/>
        </w:rPr>
        <w:t>绩效支出由项目负责人根据本办法的规定，提出具体发放申请及方案，并提交相关支撑材料，经所在二级单位科研主管领导签署意见后，报学校科研处、财务处审批，必要时学校可组织有关专家对项目绩效完成情况进行考核后再行发放。不得在核定额度以外再以任何名义重复绩效支出。因项目未完成或未通过验收而未发放的绩效支出按有关规定上缴项目下达单位。</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 xml:space="preserve">第十六条 </w:t>
      </w:r>
      <w:r>
        <w:rPr>
          <w:rFonts w:ascii="仿宋_GB2312" w:eastAsia="仿宋_GB2312" w:hint="eastAsia"/>
          <w:sz w:val="32"/>
          <w:szCs w:val="32"/>
        </w:rPr>
        <w:t xml:space="preserve"> 所有对外划拨的科研合作、协作经费必须经</w:t>
      </w:r>
      <w:r>
        <w:rPr>
          <w:rFonts w:ascii="仿宋_GB2312" w:eastAsia="仿宋_GB2312" w:hint="eastAsia"/>
          <w:sz w:val="32"/>
          <w:szCs w:val="32"/>
        </w:rPr>
        <w:lastRenderedPageBreak/>
        <w:t>科研处和财务处共同审批，严格按计划书或合同书执行，并提供合作单位资质等有关证明材料，按约定</w:t>
      </w:r>
      <w:proofErr w:type="gramStart"/>
      <w:r>
        <w:rPr>
          <w:rFonts w:ascii="仿宋_GB2312" w:eastAsia="仿宋_GB2312" w:hint="eastAsia"/>
          <w:sz w:val="32"/>
          <w:szCs w:val="32"/>
        </w:rPr>
        <w:t>的外拨经费</w:t>
      </w:r>
      <w:proofErr w:type="gramEnd"/>
      <w:r>
        <w:rPr>
          <w:rFonts w:ascii="仿宋_GB2312" w:eastAsia="仿宋_GB2312" w:hint="eastAsia"/>
          <w:sz w:val="32"/>
          <w:szCs w:val="32"/>
        </w:rPr>
        <w:t>额度、拨付方式、开户银行和账号等条款办理。经费拨入单位应严格按预算执行，并按时提交年度经费支出情况报告及相关材料，报学校科研处、财务处备案。项目负责人不得借科研协作之名，将科研经费挪作他用或转入与项目负责人有直接经济利益关系的关联单位。经批准对外转拨的科研经费，不享受学校科研奖励及配套政策，不计算科研业绩。</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第十七条</w:t>
      </w:r>
      <w:r>
        <w:rPr>
          <w:rFonts w:ascii="仿宋_GB2312" w:eastAsia="仿宋_GB2312" w:hint="eastAsia"/>
          <w:sz w:val="32"/>
          <w:szCs w:val="32"/>
        </w:rPr>
        <w:t xml:space="preserve">  为加强科研经费支出的过程管理，及时制止和纠正不合理开支。在特殊情况下，学校科研管理部门和财务部门报经主管校领导同意，有权直接冻结有关项目经费。</w:t>
      </w:r>
    </w:p>
    <w:p w:rsidR="008C60AB" w:rsidRDefault="008C60AB" w:rsidP="008C60AB">
      <w:pPr>
        <w:ind w:firstLine="630"/>
        <w:jc w:val="left"/>
        <w:rPr>
          <w:rFonts w:ascii="仿宋_GB2312" w:eastAsia="仿宋_GB2312"/>
          <w:b/>
          <w:bCs/>
          <w:sz w:val="32"/>
          <w:szCs w:val="32"/>
        </w:rPr>
      </w:pPr>
      <w:r>
        <w:rPr>
          <w:rFonts w:ascii="仿宋_GB2312" w:eastAsia="仿宋_GB2312" w:hint="eastAsia"/>
          <w:b/>
          <w:bCs/>
          <w:sz w:val="32"/>
          <w:szCs w:val="32"/>
        </w:rPr>
        <w:t>第十八条</w:t>
      </w:r>
      <w:r>
        <w:rPr>
          <w:rFonts w:ascii="仿宋_GB2312" w:eastAsia="仿宋_GB2312" w:hint="eastAsia"/>
          <w:sz w:val="32"/>
          <w:szCs w:val="32"/>
        </w:rPr>
        <w:t xml:space="preserve">  科研经费的开支情况接受学校审计部门的监督和审计，一旦发现违纪违法问题，学校将依据《财政违法行为处罚处分条例》、《事业单位工作人员处分暂行规定》等规定进行严肃处理，依情节轻重给予行政处罚或处分，涉嫌犯罪的，移送司法机关追究刑事责任。</w:t>
      </w:r>
    </w:p>
    <w:p w:rsidR="008C60AB" w:rsidRDefault="008C60AB" w:rsidP="008C60AB">
      <w:pPr>
        <w:ind w:firstLine="630"/>
        <w:jc w:val="center"/>
        <w:rPr>
          <w:rFonts w:ascii="仿宋_GB2312" w:eastAsia="仿宋_GB2312"/>
          <w:b/>
          <w:bCs/>
          <w:sz w:val="32"/>
          <w:szCs w:val="32"/>
        </w:rPr>
      </w:pPr>
      <w:r>
        <w:rPr>
          <w:rFonts w:ascii="仿宋_GB2312" w:eastAsia="仿宋_GB2312" w:hint="eastAsia"/>
          <w:b/>
          <w:bCs/>
          <w:sz w:val="32"/>
          <w:szCs w:val="32"/>
        </w:rPr>
        <w:t>第五章 经费决算管理</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第十九条</w:t>
      </w:r>
      <w:r>
        <w:rPr>
          <w:rFonts w:ascii="仿宋_GB2312" w:eastAsia="仿宋_GB2312" w:hint="eastAsia"/>
          <w:sz w:val="32"/>
          <w:szCs w:val="32"/>
        </w:rPr>
        <w:t xml:space="preserve">  科研项目结束后，项目负责人应及时根据有关要求和规定编制项目决算报告，并对项目决算的真实性、准确性负责，财务部门应予以指导和审查。科研项目决算报告由科研处、财务处、审计室审核签署意见后，根据要求报送项目下达部门，同时科研处留存备案。有财务审计要求或</w:t>
      </w:r>
      <w:r>
        <w:rPr>
          <w:rFonts w:ascii="仿宋_GB2312" w:eastAsia="仿宋_GB2312" w:hint="eastAsia"/>
          <w:sz w:val="32"/>
          <w:szCs w:val="32"/>
        </w:rPr>
        <w:lastRenderedPageBreak/>
        <w:t>经费额度在5万元（含）以上的科研项目，应报请学校审计部门进行科研经费审计，必要时可聘请具有财务验收审计资格的会计师事务中介机构进行审计并出具财务审计报告。</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第二十条</w:t>
      </w:r>
      <w:r>
        <w:rPr>
          <w:rFonts w:ascii="仿宋_GB2312" w:eastAsia="仿宋_GB2312" w:hint="eastAsia"/>
          <w:sz w:val="32"/>
          <w:szCs w:val="32"/>
        </w:rPr>
        <w:t xml:space="preserve">  对于项目结题后结余的经费，应按国家或项目主管部门有关规定执行。无明确规定的，在两年内结转至个人科研账户，用于科研仪器设备的购置和维护、其他科研项目的预研及科研人才培养等支出；两年后仍有结余的，有单位统筹使用，安排用于科研活动直接支出，优先考虑原项目团队科研需求。</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第二十一条</w:t>
      </w:r>
      <w:r>
        <w:rPr>
          <w:rFonts w:ascii="仿宋_GB2312" w:eastAsia="仿宋_GB2312" w:hint="eastAsia"/>
          <w:sz w:val="32"/>
          <w:szCs w:val="32"/>
        </w:rPr>
        <w:t xml:space="preserve">  凡使用科研经费购置、在科研活动中形成的科研成果、科研副产品等资产，产权均归学校所有（国家另有明确规定的除外）。其形成科研成果转化、科研副产品销售等收入分配按学校有关规定执行。</w:t>
      </w:r>
    </w:p>
    <w:p w:rsidR="008C60AB" w:rsidRDefault="008C60AB" w:rsidP="008C60AB">
      <w:pPr>
        <w:numPr>
          <w:ilvl w:val="0"/>
          <w:numId w:val="2"/>
        </w:numPr>
        <w:ind w:firstLine="630"/>
        <w:jc w:val="center"/>
        <w:rPr>
          <w:rFonts w:ascii="仿宋_GB2312" w:eastAsia="仿宋_GB2312"/>
          <w:b/>
          <w:bCs/>
          <w:sz w:val="32"/>
          <w:szCs w:val="32"/>
        </w:rPr>
      </w:pPr>
      <w:r>
        <w:rPr>
          <w:rFonts w:ascii="仿宋_GB2312" w:eastAsia="仿宋_GB2312" w:hint="eastAsia"/>
          <w:b/>
          <w:bCs/>
          <w:sz w:val="32"/>
          <w:szCs w:val="32"/>
        </w:rPr>
        <w:t>科研经费监督管理</w:t>
      </w:r>
    </w:p>
    <w:p w:rsidR="008C60AB" w:rsidRDefault="008C60AB" w:rsidP="008C60AB">
      <w:pPr>
        <w:ind w:firstLineChars="200" w:firstLine="643"/>
        <w:rPr>
          <w:rFonts w:ascii="仿宋_GB2312" w:eastAsia="仿宋_GB2312"/>
          <w:b/>
          <w:bCs/>
          <w:sz w:val="32"/>
          <w:szCs w:val="32"/>
        </w:rPr>
      </w:pPr>
      <w:r>
        <w:rPr>
          <w:rFonts w:ascii="仿宋_GB2312" w:eastAsia="仿宋_GB2312" w:hint="eastAsia"/>
          <w:b/>
          <w:bCs/>
          <w:sz w:val="32"/>
          <w:szCs w:val="32"/>
        </w:rPr>
        <w:t xml:space="preserve">第二十二条  </w:t>
      </w:r>
      <w:r>
        <w:rPr>
          <w:rFonts w:ascii="仿宋_GB2312" w:eastAsia="仿宋_GB2312" w:hint="eastAsia"/>
          <w:sz w:val="32"/>
          <w:szCs w:val="32"/>
        </w:rPr>
        <w:t>科研经费的开支情况接受学校审计部门的监督和审计，一旦发现违纪违法问题，学校将依据《财政违法行为处罚处分条例》、《事业单位工作人员处分暂行规定》等规定进行严肃处理，依情节轻重给予行政处罚或处分，涉嫌犯罪的，移送司法机关追究刑事责任。</w:t>
      </w:r>
    </w:p>
    <w:p w:rsidR="008C60AB" w:rsidRDefault="008C60AB" w:rsidP="008C60AB">
      <w:pPr>
        <w:ind w:firstLineChars="200" w:firstLine="643"/>
        <w:rPr>
          <w:rFonts w:ascii="仿宋_GB2312" w:eastAsia="仿宋_GB2312"/>
          <w:sz w:val="32"/>
          <w:szCs w:val="32"/>
        </w:rPr>
      </w:pPr>
      <w:r>
        <w:rPr>
          <w:rFonts w:ascii="仿宋_GB2312" w:eastAsia="仿宋_GB2312" w:hint="eastAsia"/>
          <w:b/>
          <w:bCs/>
          <w:sz w:val="32"/>
          <w:szCs w:val="32"/>
        </w:rPr>
        <w:t xml:space="preserve">第二十三条  </w:t>
      </w:r>
      <w:r>
        <w:rPr>
          <w:rFonts w:ascii="仿宋_GB2312" w:eastAsia="仿宋_GB2312" w:hint="eastAsia"/>
          <w:sz w:val="32"/>
          <w:szCs w:val="32"/>
        </w:rPr>
        <w:t>加强科研诚信管理与教育，加强相关人员科研经费管理办法、财务制度和财经纪律的专项培训，切实做好科研经费的监督与管理工作。对失信或违规的科研团队</w:t>
      </w:r>
      <w:r>
        <w:rPr>
          <w:rFonts w:ascii="仿宋_GB2312" w:eastAsia="仿宋_GB2312" w:hint="eastAsia"/>
          <w:sz w:val="32"/>
          <w:szCs w:val="32"/>
        </w:rPr>
        <w:lastRenderedPageBreak/>
        <w:t xml:space="preserve">和个人依法依规进行处罚。 </w:t>
      </w:r>
    </w:p>
    <w:p w:rsidR="008C60AB" w:rsidRDefault="008C60AB" w:rsidP="008C60AB">
      <w:pPr>
        <w:ind w:firstLineChars="200" w:firstLine="643"/>
        <w:rPr>
          <w:rFonts w:ascii="仿宋_GB2312" w:eastAsia="仿宋_GB2312"/>
          <w:b/>
          <w:bCs/>
          <w:sz w:val="32"/>
          <w:szCs w:val="32"/>
        </w:rPr>
      </w:pPr>
      <w:r>
        <w:rPr>
          <w:rFonts w:ascii="仿宋_GB2312" w:eastAsia="仿宋_GB2312" w:hint="eastAsia"/>
          <w:b/>
          <w:bCs/>
          <w:sz w:val="32"/>
          <w:szCs w:val="32"/>
        </w:rPr>
        <w:t xml:space="preserve">第二十四条  </w:t>
      </w:r>
      <w:r>
        <w:rPr>
          <w:rFonts w:ascii="仿宋_GB2312" w:eastAsia="仿宋_GB2312" w:hint="eastAsia"/>
          <w:sz w:val="32"/>
          <w:szCs w:val="32"/>
        </w:rPr>
        <w:t>非</w:t>
      </w:r>
      <w:proofErr w:type="gramStart"/>
      <w:r>
        <w:rPr>
          <w:rFonts w:ascii="仿宋_GB2312" w:eastAsia="仿宋_GB2312" w:hint="eastAsia"/>
          <w:sz w:val="32"/>
          <w:szCs w:val="32"/>
        </w:rPr>
        <w:t>正常结项的</w:t>
      </w:r>
      <w:proofErr w:type="gramEnd"/>
      <w:r>
        <w:rPr>
          <w:rFonts w:ascii="仿宋_GB2312" w:eastAsia="仿宋_GB2312" w:hint="eastAsia"/>
          <w:sz w:val="32"/>
          <w:szCs w:val="32"/>
        </w:rPr>
        <w:t>课题经费，按照课题来源单位的具体要求执行。本着鼓励创新、包容失败的原则视具体情况而定。</w:t>
      </w:r>
    </w:p>
    <w:p w:rsidR="008C60AB" w:rsidRDefault="008C60AB" w:rsidP="008C60AB">
      <w:pPr>
        <w:ind w:firstLine="630"/>
        <w:jc w:val="center"/>
        <w:rPr>
          <w:rFonts w:ascii="仿宋_GB2312" w:eastAsia="仿宋_GB2312"/>
          <w:b/>
          <w:bCs/>
          <w:sz w:val="32"/>
          <w:szCs w:val="32"/>
        </w:rPr>
      </w:pPr>
      <w:r>
        <w:rPr>
          <w:rFonts w:ascii="仿宋_GB2312" w:eastAsia="仿宋_GB2312" w:hint="eastAsia"/>
          <w:b/>
          <w:bCs/>
          <w:sz w:val="32"/>
          <w:szCs w:val="32"/>
        </w:rPr>
        <w:t>第七章 附则</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第二十五条</w:t>
      </w:r>
      <w:r>
        <w:rPr>
          <w:rFonts w:ascii="仿宋_GB2312" w:eastAsia="仿宋_GB2312" w:hint="eastAsia"/>
          <w:sz w:val="32"/>
          <w:szCs w:val="32"/>
        </w:rPr>
        <w:t xml:space="preserve">  </w:t>
      </w:r>
      <w:proofErr w:type="gramStart"/>
      <w:r>
        <w:rPr>
          <w:rFonts w:ascii="仿宋_GB2312" w:eastAsia="仿宋_GB2312" w:hint="eastAsia"/>
          <w:sz w:val="32"/>
          <w:szCs w:val="32"/>
        </w:rPr>
        <w:t>凡科研</w:t>
      </w:r>
      <w:proofErr w:type="gramEnd"/>
      <w:r>
        <w:rPr>
          <w:rFonts w:ascii="仿宋_GB2312" w:eastAsia="仿宋_GB2312" w:hint="eastAsia"/>
          <w:sz w:val="32"/>
          <w:szCs w:val="32"/>
        </w:rPr>
        <w:t>项目下达部门对科研经费的使用另有规定的，一律按项目下达单位的规定执行。</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第二十六条</w:t>
      </w:r>
      <w:r>
        <w:rPr>
          <w:rFonts w:ascii="仿宋_GB2312" w:eastAsia="仿宋_GB2312" w:hint="eastAsia"/>
          <w:sz w:val="32"/>
          <w:szCs w:val="32"/>
        </w:rPr>
        <w:t xml:space="preserve">  本办法自发文之日起施行，原</w:t>
      </w:r>
      <w:bookmarkStart w:id="2" w:name="OLE_LINK115"/>
      <w:bookmarkStart w:id="3" w:name="OLE_LINK116"/>
      <w:r>
        <w:rPr>
          <w:rFonts w:ascii="仿宋_GB2312" w:eastAsia="仿宋_GB2312" w:hint="eastAsia"/>
          <w:sz w:val="32"/>
          <w:szCs w:val="32"/>
        </w:rPr>
        <w:t>《河北北方学院科研经费管理办法》（校字[2017]2号）废止</w:t>
      </w:r>
      <w:bookmarkEnd w:id="2"/>
      <w:bookmarkEnd w:id="3"/>
      <w:r>
        <w:rPr>
          <w:rFonts w:ascii="仿宋_GB2312" w:eastAsia="仿宋_GB2312" w:hint="eastAsia"/>
          <w:sz w:val="32"/>
          <w:szCs w:val="32"/>
        </w:rPr>
        <w:t>。</w:t>
      </w:r>
    </w:p>
    <w:p w:rsidR="008C60AB" w:rsidRDefault="008C60AB" w:rsidP="008C60AB">
      <w:pPr>
        <w:ind w:firstLine="630"/>
        <w:jc w:val="left"/>
        <w:rPr>
          <w:rFonts w:ascii="仿宋_GB2312" w:eastAsia="仿宋_GB2312"/>
          <w:sz w:val="32"/>
          <w:szCs w:val="32"/>
        </w:rPr>
      </w:pPr>
      <w:r>
        <w:rPr>
          <w:rFonts w:ascii="仿宋_GB2312" w:eastAsia="仿宋_GB2312" w:hint="eastAsia"/>
          <w:b/>
          <w:bCs/>
          <w:sz w:val="32"/>
          <w:szCs w:val="32"/>
        </w:rPr>
        <w:t xml:space="preserve">第二十七条 </w:t>
      </w:r>
      <w:r>
        <w:rPr>
          <w:rFonts w:ascii="仿宋_GB2312" w:eastAsia="仿宋_GB2312" w:hint="eastAsia"/>
          <w:sz w:val="32"/>
          <w:szCs w:val="32"/>
        </w:rPr>
        <w:t xml:space="preserve"> 本办法解释权归学校科研处、财务处。</w:t>
      </w:r>
    </w:p>
    <w:p w:rsidR="008C60AB" w:rsidRDefault="008C60AB" w:rsidP="008C60AB">
      <w:pPr>
        <w:ind w:firstLine="630"/>
        <w:jc w:val="left"/>
        <w:rPr>
          <w:rFonts w:ascii="仿宋_GB2312" w:eastAsia="仿宋_GB2312"/>
          <w:sz w:val="32"/>
          <w:szCs w:val="32"/>
        </w:rPr>
      </w:pPr>
    </w:p>
    <w:p w:rsidR="008C60AB" w:rsidRDefault="008C60AB" w:rsidP="008C60AB">
      <w:pPr>
        <w:ind w:firstLine="630"/>
        <w:jc w:val="left"/>
        <w:rPr>
          <w:rFonts w:ascii="仿宋_GB2312" w:eastAsia="仿宋_GB2312"/>
          <w:sz w:val="32"/>
          <w:szCs w:val="32"/>
        </w:rPr>
      </w:pPr>
    </w:p>
    <w:p w:rsidR="008C60AB" w:rsidRDefault="008C60AB" w:rsidP="008C60AB">
      <w:pPr>
        <w:topLinePunct/>
        <w:spacing w:line="520" w:lineRule="exact"/>
        <w:rPr>
          <w:rFonts w:ascii="仿宋" w:eastAsia="仿宋" w:hAnsi="仿宋"/>
          <w:sz w:val="32"/>
          <w:szCs w:val="32"/>
        </w:rPr>
      </w:pPr>
      <w:r>
        <w:rPr>
          <w:rFonts w:ascii="仿宋" w:eastAsia="仿宋" w:hAnsi="仿宋" w:cs="华文仿宋" w:hint="eastAsia"/>
          <w:sz w:val="32"/>
          <w:szCs w:val="32"/>
        </w:rPr>
        <w:t xml:space="preserve">                  </w:t>
      </w:r>
      <w:r>
        <w:rPr>
          <w:rFonts w:ascii="仿宋" w:eastAsia="仿宋" w:hAnsi="仿宋" w:cs="华文仿宋" w:hint="eastAsia"/>
          <w:color w:val="000000"/>
          <w:sz w:val="32"/>
          <w:szCs w:val="32"/>
        </w:rPr>
        <w:t xml:space="preserve"> </w:t>
      </w:r>
    </w:p>
    <w:p w:rsidR="008C60AB" w:rsidRDefault="008C60AB" w:rsidP="008C60AB">
      <w:pPr>
        <w:jc w:val="center"/>
        <w:rPr>
          <w:rFonts w:ascii="仿宋" w:eastAsia="仿宋" w:hAnsi="仿宋"/>
          <w:color w:val="000000"/>
          <w:sz w:val="32"/>
          <w:szCs w:val="32"/>
        </w:rPr>
      </w:pPr>
      <w:r>
        <w:rPr>
          <w:rFonts w:ascii="仿宋" w:eastAsia="仿宋" w:hAnsi="仿宋"/>
          <w:noProof/>
          <w:sz w:val="28"/>
          <w:szCs w:val="28"/>
        </w:rPr>
        <mc:AlternateContent>
          <mc:Choice Requires="wps">
            <w:drawing>
              <wp:anchor distT="0" distB="0" distL="114300" distR="114300" simplePos="0" relativeHeight="251659264" behindDoc="0" locked="1" layoutInCell="1" allowOverlap="1" wp14:anchorId="2CCBF81D" wp14:editId="27FA2C8E">
                <wp:simplePos x="0" y="0"/>
                <wp:positionH relativeFrom="column">
                  <wp:posOffset>0</wp:posOffset>
                </wp:positionH>
                <wp:positionV relativeFrom="paragraph">
                  <wp:posOffset>-41910</wp:posOffset>
                </wp:positionV>
                <wp:extent cx="5600700" cy="0"/>
                <wp:effectExtent l="9525" t="5715" r="9525" b="13335"/>
                <wp:wrapNone/>
                <wp:docPr id="340" name="直接连接符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4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3pt" to="44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">
                <w10:anchorlock/>
              </v:line>
            </w:pict>
          </mc:Fallback>
        </mc:AlternateContent>
      </w:r>
      <w:r>
        <w:rPr>
          <w:rFonts w:ascii="仿宋" w:eastAsia="仿宋" w:hAnsi="仿宋"/>
          <w:noProof/>
          <w:sz w:val="28"/>
          <w:szCs w:val="28"/>
        </w:rPr>
        <mc:AlternateContent>
          <mc:Choice Requires="wps">
            <w:drawing>
              <wp:anchor distT="0" distB="0" distL="114300" distR="114300" simplePos="0" relativeHeight="251660288" behindDoc="0" locked="1" layoutInCell="1" allowOverlap="1" wp14:anchorId="438C0A05" wp14:editId="6E6931C3">
                <wp:simplePos x="0" y="0"/>
                <wp:positionH relativeFrom="column">
                  <wp:posOffset>0</wp:posOffset>
                </wp:positionH>
                <wp:positionV relativeFrom="paragraph">
                  <wp:posOffset>325755</wp:posOffset>
                </wp:positionV>
                <wp:extent cx="5600700" cy="0"/>
                <wp:effectExtent l="9525" t="11430" r="9525" b="7620"/>
                <wp:wrapNone/>
                <wp:docPr id="339" name="直接连接符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39"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">
                <w10:anchorlock/>
              </v:line>
            </w:pict>
          </mc:Fallback>
        </mc:AlternateContent>
      </w:r>
      <w:r>
        <w:rPr>
          <w:rFonts w:ascii="仿宋" w:eastAsia="仿宋" w:hAnsi="仿宋" w:hint="eastAsia"/>
          <w:sz w:val="28"/>
          <w:szCs w:val="28"/>
        </w:rPr>
        <w:t xml:space="preserve">河北北方学院党政办公室                </w:t>
      </w:r>
      <w:smartTag w:uri="urn:schemas-microsoft-com:office:smarttags" w:element="chsdate">
        <w:smartTagPr>
          <w:attr w:name="Year" w:val="2023"/>
          <w:attr w:name="Month" w:val="1"/>
          <w:attr w:name="Day" w:val="11"/>
          <w:attr w:name="IsLunarDate" w:val="False"/>
          <w:attr w:name="IsROCDate" w:val="False"/>
        </w:smartTagPr>
        <w:r>
          <w:rPr>
            <w:rFonts w:ascii="仿宋" w:eastAsia="仿宋" w:hAnsi="仿宋" w:hint="eastAsia"/>
            <w:sz w:val="28"/>
            <w:szCs w:val="28"/>
          </w:rPr>
          <w:t>2023年1月11日</w:t>
        </w:r>
      </w:smartTag>
      <w:r>
        <w:rPr>
          <w:rFonts w:ascii="仿宋" w:eastAsia="仿宋" w:hAnsi="仿宋" w:hint="eastAsia"/>
          <w:sz w:val="28"/>
          <w:szCs w:val="28"/>
        </w:rPr>
        <w:t>印发</w:t>
      </w:r>
    </w:p>
    <w:p w:rsidR="008C60AB" w:rsidRDefault="008C60AB" w:rsidP="008C60AB">
      <w:pPr>
        <w:widowControl/>
        <w:jc w:val="left"/>
      </w:pPr>
      <w:r>
        <w:br w:type="page"/>
      </w:r>
    </w:p>
    <w:p w:rsidR="00D97B94" w:rsidRPr="008C60AB" w:rsidRDefault="00D97B94">
      <w:bookmarkStart w:id="4" w:name="_GoBack"/>
      <w:bookmarkEnd w:id="4"/>
    </w:p>
    <w:sectPr w:rsidR="00D97B94" w:rsidRPr="008C60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88" w:rsidRDefault="00A62588" w:rsidP="008C60AB">
      <w:r>
        <w:separator/>
      </w:r>
    </w:p>
  </w:endnote>
  <w:endnote w:type="continuationSeparator" w:id="0">
    <w:p w:rsidR="00A62588" w:rsidRDefault="00A62588" w:rsidP="008C6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宋体fal">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88" w:rsidRDefault="00A62588" w:rsidP="008C60AB">
      <w:r>
        <w:separator/>
      </w:r>
    </w:p>
  </w:footnote>
  <w:footnote w:type="continuationSeparator" w:id="0">
    <w:p w:rsidR="00A62588" w:rsidRDefault="00A62588" w:rsidP="008C6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6F3C88"/>
    <w:multiLevelType w:val="singleLevel"/>
    <w:tmpl w:val="8D6F3C88"/>
    <w:lvl w:ilvl="0">
      <w:start w:val="6"/>
      <w:numFmt w:val="chineseCounting"/>
      <w:suff w:val="space"/>
      <w:lvlText w:val="第%1章"/>
      <w:lvlJc w:val="left"/>
      <w:rPr>
        <w:rFonts w:hint="eastAsia"/>
      </w:rPr>
    </w:lvl>
  </w:abstractNum>
  <w:abstractNum w:abstractNumId="1">
    <w:nsid w:val="EDCC4CE6"/>
    <w:multiLevelType w:val="singleLevel"/>
    <w:tmpl w:val="EDCC4CE6"/>
    <w:lvl w:ilvl="0">
      <w:start w:val="3"/>
      <w:numFmt w:val="chineseCounting"/>
      <w:suff w:val="space"/>
      <w:lvlText w:val="第%1条"/>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E88"/>
    <w:rsid w:val="008C60AB"/>
    <w:rsid w:val="00A62588"/>
    <w:rsid w:val="00B06E88"/>
    <w:rsid w:val="00D97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AB"/>
    <w:pPr>
      <w:widowControl w:val="0"/>
      <w:jc w:val="both"/>
    </w:pPr>
    <w:rPr>
      <w:rFonts w:ascii="Times New Roman" w:eastAsia="宋体fal"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60AB"/>
    <w:rPr>
      <w:sz w:val="18"/>
      <w:szCs w:val="18"/>
    </w:rPr>
  </w:style>
  <w:style w:type="paragraph" w:styleId="a4">
    <w:name w:val="footer"/>
    <w:basedOn w:val="a"/>
    <w:link w:val="Char0"/>
    <w:uiPriority w:val="99"/>
    <w:unhideWhenUsed/>
    <w:rsid w:val="008C60AB"/>
    <w:pPr>
      <w:tabs>
        <w:tab w:val="center" w:pos="4153"/>
        <w:tab w:val="right" w:pos="8306"/>
      </w:tabs>
      <w:snapToGrid w:val="0"/>
      <w:jc w:val="left"/>
    </w:pPr>
    <w:rPr>
      <w:sz w:val="18"/>
      <w:szCs w:val="18"/>
    </w:rPr>
  </w:style>
  <w:style w:type="character" w:customStyle="1" w:styleId="Char0">
    <w:name w:val="页脚 Char"/>
    <w:basedOn w:val="a0"/>
    <w:link w:val="a4"/>
    <w:uiPriority w:val="99"/>
    <w:rsid w:val="008C60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0AB"/>
    <w:pPr>
      <w:widowControl w:val="0"/>
      <w:jc w:val="both"/>
    </w:pPr>
    <w:rPr>
      <w:rFonts w:ascii="Times New Roman" w:eastAsia="宋体fal"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60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60AB"/>
    <w:rPr>
      <w:sz w:val="18"/>
      <w:szCs w:val="18"/>
    </w:rPr>
  </w:style>
  <w:style w:type="paragraph" w:styleId="a4">
    <w:name w:val="footer"/>
    <w:basedOn w:val="a"/>
    <w:link w:val="Char0"/>
    <w:uiPriority w:val="99"/>
    <w:unhideWhenUsed/>
    <w:rsid w:val="008C60AB"/>
    <w:pPr>
      <w:tabs>
        <w:tab w:val="center" w:pos="4153"/>
        <w:tab w:val="right" w:pos="8306"/>
      </w:tabs>
      <w:snapToGrid w:val="0"/>
      <w:jc w:val="left"/>
    </w:pPr>
    <w:rPr>
      <w:sz w:val="18"/>
      <w:szCs w:val="18"/>
    </w:rPr>
  </w:style>
  <w:style w:type="character" w:customStyle="1" w:styleId="Char0">
    <w:name w:val="页脚 Char"/>
    <w:basedOn w:val="a0"/>
    <w:link w:val="a4"/>
    <w:uiPriority w:val="99"/>
    <w:rsid w:val="008C60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961</Words>
  <Characters>5484</Characters>
  <Application>Microsoft Office Word</Application>
  <DocSecurity>0</DocSecurity>
  <Lines>45</Lines>
  <Paragraphs>12</Paragraphs>
  <ScaleCrop>false</ScaleCrop>
  <Company>P R C</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2025-11-19T02:02:00Z</dcterms:created>
  <dcterms:modified xsi:type="dcterms:W3CDTF">2025-11-19T02:02:00Z</dcterms:modified>
</cp:coreProperties>
</file>